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7458" w:rsidRPr="00807458" w:rsidRDefault="00807458" w:rsidP="00807458">
      <w:pPr>
        <w:spacing w:after="0" w:line="312" w:lineRule="auto"/>
        <w:jc w:val="both"/>
        <w:rPr>
          <w:rFonts w:ascii="Arial Narrow" w:hAnsi="Arial Narrow" w:cstheme="minorHAnsi"/>
          <w:sz w:val="24"/>
          <w:szCs w:val="24"/>
        </w:rPr>
      </w:pPr>
      <w:bookmarkStart w:id="0" w:name="_GoBack"/>
      <w:bookmarkEnd w:id="0"/>
      <w:r w:rsidRPr="00807458">
        <w:rPr>
          <w:rFonts w:ascii="Arial Narrow" w:hAnsi="Arial Narrow" w:cstheme="minorHAnsi"/>
          <w:sz w:val="24"/>
          <w:szCs w:val="24"/>
        </w:rPr>
        <w:t>Processo nº 8/2019</w:t>
      </w:r>
    </w:p>
    <w:p w:rsidR="00807458" w:rsidRPr="00807458" w:rsidRDefault="00807458" w:rsidP="00807458">
      <w:pPr>
        <w:spacing w:after="0" w:line="312" w:lineRule="auto"/>
        <w:jc w:val="both"/>
        <w:rPr>
          <w:rFonts w:ascii="Arial Narrow" w:hAnsi="Arial Narrow" w:cstheme="minorHAnsi"/>
          <w:sz w:val="24"/>
          <w:szCs w:val="24"/>
        </w:rPr>
      </w:pPr>
      <w:r w:rsidRPr="00807458">
        <w:rPr>
          <w:rFonts w:ascii="Arial Narrow" w:hAnsi="Arial Narrow" w:cstheme="minorHAnsi"/>
          <w:sz w:val="24"/>
          <w:szCs w:val="24"/>
        </w:rPr>
        <w:t>Pregão Presencial nº 02/2019 – Registro de Preço</w:t>
      </w:r>
    </w:p>
    <w:p w:rsidR="00807458" w:rsidRDefault="00807458" w:rsidP="00807458">
      <w:pPr>
        <w:spacing w:after="0" w:line="312" w:lineRule="auto"/>
        <w:jc w:val="both"/>
        <w:rPr>
          <w:rFonts w:ascii="Arial Narrow" w:hAnsi="Arial Narrow" w:cstheme="minorHAnsi"/>
          <w:sz w:val="24"/>
          <w:szCs w:val="24"/>
        </w:rPr>
      </w:pPr>
    </w:p>
    <w:p w:rsidR="00807458" w:rsidRPr="00807458" w:rsidRDefault="00807458" w:rsidP="00807458">
      <w:pPr>
        <w:spacing w:after="0" w:line="312" w:lineRule="auto"/>
        <w:jc w:val="both"/>
        <w:rPr>
          <w:rFonts w:ascii="Arial Narrow" w:hAnsi="Arial Narrow" w:cstheme="minorHAnsi"/>
          <w:b/>
          <w:sz w:val="24"/>
          <w:szCs w:val="24"/>
        </w:rPr>
      </w:pPr>
      <w:r w:rsidRPr="00807458">
        <w:rPr>
          <w:rFonts w:ascii="Arial Narrow" w:hAnsi="Arial Narrow" w:cstheme="minorHAnsi"/>
          <w:b/>
          <w:sz w:val="24"/>
          <w:szCs w:val="24"/>
        </w:rPr>
        <w:t>Resposta ao Pedido de Impugnação – Rafael Ramos Albanez</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t>O CITMAR vem por meio desta responder as impugnações apresentadas em 18/03/2019, ao edital de pregão presencial nº 2.2019, cujo objeto é o registro de preços para a contratação de empresa especializada na prestação de serviços de agenciamento de viagens para o fornecimento de passagens aéreas nacionais e internacionais.</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hd w:val="clear" w:color="auto" w:fill="FFFFFF"/>
        <w:spacing w:after="0" w:line="312" w:lineRule="auto"/>
        <w:jc w:val="both"/>
        <w:rPr>
          <w:rFonts w:ascii="Arial Narrow" w:eastAsia="Times New Roman" w:hAnsi="Arial Narrow" w:cstheme="minorHAnsi"/>
          <w:b/>
          <w:color w:val="333333"/>
          <w:sz w:val="24"/>
          <w:szCs w:val="24"/>
          <w:lang w:eastAsia="pt-BR"/>
        </w:rPr>
      </w:pPr>
      <w:r w:rsidRPr="00807458">
        <w:rPr>
          <w:rFonts w:ascii="Arial Narrow" w:eastAsia="Times New Roman" w:hAnsi="Arial Narrow" w:cstheme="minorHAnsi"/>
          <w:b/>
          <w:color w:val="333333"/>
          <w:sz w:val="24"/>
          <w:szCs w:val="24"/>
          <w:lang w:eastAsia="pt-BR"/>
        </w:rPr>
        <w:t>DA IMPUGNAÇÃO APRESENTADA POR RAFAEL RAMOS ALBANEZ</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t>Preliminarmente, no que tange ao cumprimento dos requisitos de admissibilidade, a impugnação apresentada por Rafael Ramos Albanez não merece ser conhecida, pois: (i) endereçada ao Presidente da Associação dos Municípios da Associação dos Municípios da Foz do Rio Itajaí – AMFRI, pessoa jurídica distinta do Consórcio Intermunicipal de Turismo – CITMAR; (</w:t>
      </w:r>
      <w:proofErr w:type="spellStart"/>
      <w:r w:rsidRPr="00807458">
        <w:rPr>
          <w:rFonts w:ascii="Arial Narrow" w:eastAsia="Times New Roman" w:hAnsi="Arial Narrow" w:cstheme="minorHAnsi"/>
          <w:color w:val="333333"/>
          <w:sz w:val="24"/>
          <w:szCs w:val="24"/>
          <w:lang w:eastAsia="pt-BR"/>
        </w:rPr>
        <w:t>ii</w:t>
      </w:r>
      <w:proofErr w:type="spellEnd"/>
      <w:r w:rsidRPr="00807458">
        <w:rPr>
          <w:rFonts w:ascii="Arial Narrow" w:eastAsia="Times New Roman" w:hAnsi="Arial Narrow" w:cstheme="minorHAnsi"/>
          <w:color w:val="333333"/>
          <w:sz w:val="24"/>
          <w:szCs w:val="24"/>
          <w:lang w:eastAsia="pt-BR"/>
        </w:rPr>
        <w:t>) de acordo com o art. 41, § 2º, da Lei nº 8.666/93, "</w:t>
      </w:r>
      <w:r w:rsidRPr="00807458">
        <w:rPr>
          <w:rFonts w:ascii="Arial Narrow" w:eastAsia="Times New Roman" w:hAnsi="Arial Narrow" w:cstheme="minorHAnsi"/>
          <w:i/>
          <w:iCs/>
          <w:color w:val="333333"/>
          <w:sz w:val="24"/>
          <w:szCs w:val="24"/>
          <w:lang w:eastAsia="pt-BR"/>
        </w:rPr>
        <w:t>Decairá do direito de impugnar os termos do edital de licitação perante a administração o licitante que não o fizer até o segundo dia útil (...)</w:t>
      </w:r>
      <w:r w:rsidRPr="00807458">
        <w:rPr>
          <w:rFonts w:ascii="Arial Narrow" w:eastAsia="Times New Roman" w:hAnsi="Arial Narrow" w:cstheme="minorHAnsi"/>
          <w:color w:val="333333"/>
          <w:sz w:val="24"/>
          <w:szCs w:val="24"/>
          <w:lang w:eastAsia="pt-BR"/>
        </w:rPr>
        <w:t>", logo, por se tratar de pessoa física cuja profissão é "advogado", Rafael Ramos Albanez não é parte legítima para oferecer impugnação com fundamento no art. 41, § 2º, da Lei de Licitações.</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t>Todavia, não obstante a impugnação não possa ser conhecida, pelo princípio da autotutela administrativa, insculpido na Súmula nº 473 do Supremo Tribunal Federal, "</w:t>
      </w:r>
      <w:r w:rsidRPr="00807458">
        <w:rPr>
          <w:rFonts w:ascii="Arial Narrow" w:eastAsia="Times New Roman" w:hAnsi="Arial Narrow" w:cstheme="minorHAnsi"/>
          <w:i/>
          <w:iCs/>
          <w:color w:val="333333"/>
          <w:sz w:val="24"/>
          <w:szCs w:val="24"/>
          <w:lang w:eastAsia="pt-BR"/>
        </w:rPr>
        <w:t>A administração pode anular seus próprios atos, quando eivados de vícios que os tornam ilegais, porque deles não se originam direitos; ou revogá-los, por motivo de conveniência ou oportunidade, respeitados os direitos adquiridos, e ressalvada, em todos os casos, a apreciação judicial</w:t>
      </w:r>
      <w:r w:rsidRPr="00807458">
        <w:rPr>
          <w:rFonts w:ascii="Arial Narrow" w:eastAsia="Times New Roman" w:hAnsi="Arial Narrow" w:cstheme="minorHAnsi"/>
          <w:color w:val="333333"/>
          <w:sz w:val="24"/>
          <w:szCs w:val="24"/>
          <w:lang w:eastAsia="pt-BR"/>
        </w:rPr>
        <w:t>." Nesse sentido, apresentam-se abaixo as considerações a respeito do mérito da impugnação apresentada.</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t>O impugnante alega que: (i) o edital não apresenta qualquer parâmetro técnico para chegar ao valor estimado da licitação; (</w:t>
      </w:r>
      <w:proofErr w:type="spellStart"/>
      <w:r w:rsidRPr="00807458">
        <w:rPr>
          <w:rFonts w:ascii="Arial Narrow" w:eastAsia="Times New Roman" w:hAnsi="Arial Narrow" w:cstheme="minorHAnsi"/>
          <w:color w:val="333333"/>
          <w:sz w:val="24"/>
          <w:szCs w:val="24"/>
          <w:lang w:eastAsia="pt-BR"/>
        </w:rPr>
        <w:t>ii</w:t>
      </w:r>
      <w:proofErr w:type="spellEnd"/>
      <w:r w:rsidRPr="00807458">
        <w:rPr>
          <w:rFonts w:ascii="Arial Narrow" w:eastAsia="Times New Roman" w:hAnsi="Arial Narrow" w:cstheme="minorHAnsi"/>
          <w:color w:val="333333"/>
          <w:sz w:val="24"/>
          <w:szCs w:val="24"/>
          <w:lang w:eastAsia="pt-BR"/>
        </w:rPr>
        <w:t>) a metodologia apresentada para o tipo de licitação, considerando-se o valor da outorga pela concessão, torna incerto o valor total da operação e não favorece a Administração; (</w:t>
      </w:r>
      <w:proofErr w:type="spellStart"/>
      <w:r w:rsidRPr="00807458">
        <w:rPr>
          <w:rFonts w:ascii="Arial Narrow" w:eastAsia="Times New Roman" w:hAnsi="Arial Narrow" w:cstheme="minorHAnsi"/>
          <w:color w:val="333333"/>
          <w:sz w:val="24"/>
          <w:szCs w:val="24"/>
          <w:lang w:eastAsia="pt-BR"/>
        </w:rPr>
        <w:t>iii</w:t>
      </w:r>
      <w:proofErr w:type="spellEnd"/>
      <w:r w:rsidRPr="00807458">
        <w:rPr>
          <w:rFonts w:ascii="Arial Narrow" w:eastAsia="Times New Roman" w:hAnsi="Arial Narrow" w:cstheme="minorHAnsi"/>
          <w:color w:val="333333"/>
          <w:sz w:val="24"/>
          <w:szCs w:val="24"/>
          <w:lang w:eastAsia="pt-BR"/>
        </w:rPr>
        <w:t xml:space="preserve">) o ônus da execução do objeto, inclusive no que tange à arrecadação, é todo da futura concessionária e por isso é elementar que se considere um valor certo e </w:t>
      </w:r>
      <w:proofErr w:type="spellStart"/>
      <w:r w:rsidRPr="00807458">
        <w:rPr>
          <w:rFonts w:ascii="Arial Narrow" w:eastAsia="Times New Roman" w:hAnsi="Arial Narrow" w:cstheme="minorHAnsi"/>
          <w:color w:val="333333"/>
          <w:sz w:val="24"/>
          <w:szCs w:val="24"/>
          <w:lang w:eastAsia="pt-BR"/>
        </w:rPr>
        <w:t>pré</w:t>
      </w:r>
      <w:proofErr w:type="spellEnd"/>
      <w:r w:rsidRPr="00807458">
        <w:rPr>
          <w:rFonts w:ascii="Arial Narrow" w:eastAsia="Times New Roman" w:hAnsi="Arial Narrow" w:cstheme="minorHAnsi"/>
          <w:color w:val="333333"/>
          <w:sz w:val="24"/>
          <w:szCs w:val="24"/>
          <w:lang w:eastAsia="pt-BR"/>
        </w:rPr>
        <w:t xml:space="preserve"> definido para a outorga de um serviço público a terceiro; (</w:t>
      </w:r>
      <w:proofErr w:type="spellStart"/>
      <w:r w:rsidRPr="00807458">
        <w:rPr>
          <w:rFonts w:ascii="Arial Narrow" w:eastAsia="Times New Roman" w:hAnsi="Arial Narrow" w:cstheme="minorHAnsi"/>
          <w:color w:val="333333"/>
          <w:sz w:val="24"/>
          <w:szCs w:val="24"/>
          <w:lang w:eastAsia="pt-BR"/>
        </w:rPr>
        <w:t>iv</w:t>
      </w:r>
      <w:proofErr w:type="spellEnd"/>
      <w:r w:rsidRPr="00807458">
        <w:rPr>
          <w:rFonts w:ascii="Arial Narrow" w:eastAsia="Times New Roman" w:hAnsi="Arial Narrow" w:cstheme="minorHAnsi"/>
          <w:color w:val="333333"/>
          <w:sz w:val="24"/>
          <w:szCs w:val="24"/>
          <w:lang w:eastAsia="pt-BR"/>
        </w:rPr>
        <w:t xml:space="preserve">) a definição do objeto do presente edital deveria </w:t>
      </w:r>
    </w:p>
    <w:p w:rsidR="00807458" w:rsidRP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lastRenderedPageBreak/>
        <w:t xml:space="preserve">ser acompanhada das datas e itinerários dos destinos </w:t>
      </w:r>
      <w:proofErr w:type="gramStart"/>
      <w:r w:rsidRPr="00807458">
        <w:rPr>
          <w:rFonts w:ascii="Arial Narrow" w:eastAsia="Times New Roman" w:hAnsi="Arial Narrow" w:cstheme="minorHAnsi"/>
          <w:color w:val="333333"/>
          <w:sz w:val="24"/>
          <w:szCs w:val="24"/>
          <w:lang w:eastAsia="pt-BR"/>
        </w:rPr>
        <w:t>que  englobariam</w:t>
      </w:r>
      <w:proofErr w:type="gramEnd"/>
      <w:r w:rsidRPr="00807458">
        <w:rPr>
          <w:rFonts w:ascii="Arial Narrow" w:eastAsia="Times New Roman" w:hAnsi="Arial Narrow" w:cstheme="minorHAnsi"/>
          <w:color w:val="333333"/>
          <w:sz w:val="24"/>
          <w:szCs w:val="24"/>
          <w:lang w:eastAsia="pt-BR"/>
        </w:rPr>
        <w:t xml:space="preserve"> estas passagens aéreas. Em face dessas alegações, o impugnante requer a declaração de nulidade do edital de licitação.</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t>Em primeiro, cumpre esclarecer que não se trata de um edital de concessão de serviços de público, sendo assim descabida qualquer das alegações nesse aspecto. Não se trata da outorga de serviços públicos, a futura contratada não será concessionária de serviços públicos, não será remunerada por tarifa nem por qualquer outra forma de arrecadação. O CITMAR não irá outorgar serviços públicos, mesmo porque a compra de passagens aéreas sequer é serviço público. O objeto do edital consiste na contratação da prestação de serviços de agenciamento para o CITMAR, por meio do sistema de registro de preços.</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t>Em segundo, o sistema de registro de preços tem como fundamentos elementares a imprevisibilidade e a contratação por valor estimado para contratações futuras. Trata-se da instauração de uma licitação cujo objetivo é a formação de uma ata de registro de preços para a formação de contratos futuros e estes sim serão por valor certo e com itinerário definido. Não é outra a jurisprudência do Tribunal de Contas da União (TCU): "</w:t>
      </w:r>
      <w:r w:rsidRPr="00807458">
        <w:rPr>
          <w:rFonts w:ascii="Arial Narrow" w:eastAsia="Times New Roman" w:hAnsi="Arial Narrow" w:cstheme="minorHAnsi"/>
          <w:i/>
          <w:iCs/>
          <w:color w:val="333333"/>
          <w:sz w:val="24"/>
          <w:szCs w:val="24"/>
          <w:lang w:eastAsia="pt-BR"/>
        </w:rPr>
        <w:t>A utilização do Sistema de Registro de Preços é adequada em situações em que a demanda é incerta, seja em relação a sua ocorrência, seja no que concerne à quantidade de bens a ser demandada</w:t>
      </w:r>
      <w:r w:rsidRPr="00807458">
        <w:rPr>
          <w:rFonts w:ascii="Arial Narrow" w:eastAsia="Times New Roman" w:hAnsi="Arial Narrow" w:cstheme="minorHAnsi"/>
          <w:color w:val="333333"/>
          <w:sz w:val="24"/>
          <w:szCs w:val="24"/>
          <w:lang w:eastAsia="pt-BR"/>
        </w:rPr>
        <w:t>." (Acórdão nº 2197/2015 – Plenário).</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t>Por essas razões, responde-se objetivamente à impugnação no sentido de que: (i) o edital não é o documento em que devem constar os fundamentos para o valor estimado, porém, tais fundamentos constam de processos administrativos do CITMAR e o critério utilizado é histórico de contratações do Consórcio; (</w:t>
      </w:r>
      <w:proofErr w:type="spellStart"/>
      <w:r w:rsidRPr="00807458">
        <w:rPr>
          <w:rFonts w:ascii="Arial Narrow" w:eastAsia="Times New Roman" w:hAnsi="Arial Narrow" w:cstheme="minorHAnsi"/>
          <w:color w:val="333333"/>
          <w:sz w:val="24"/>
          <w:szCs w:val="24"/>
          <w:lang w:eastAsia="pt-BR"/>
        </w:rPr>
        <w:t>ii</w:t>
      </w:r>
      <w:proofErr w:type="spellEnd"/>
      <w:r w:rsidRPr="00807458">
        <w:rPr>
          <w:rFonts w:ascii="Arial Narrow" w:eastAsia="Times New Roman" w:hAnsi="Arial Narrow" w:cstheme="minorHAnsi"/>
          <w:color w:val="333333"/>
          <w:sz w:val="24"/>
          <w:szCs w:val="24"/>
          <w:lang w:eastAsia="pt-BR"/>
        </w:rPr>
        <w:t>) e (</w:t>
      </w:r>
      <w:proofErr w:type="spellStart"/>
      <w:r w:rsidRPr="00807458">
        <w:rPr>
          <w:rFonts w:ascii="Arial Narrow" w:eastAsia="Times New Roman" w:hAnsi="Arial Narrow" w:cstheme="minorHAnsi"/>
          <w:color w:val="333333"/>
          <w:sz w:val="24"/>
          <w:szCs w:val="24"/>
          <w:lang w:eastAsia="pt-BR"/>
        </w:rPr>
        <w:t>iii</w:t>
      </w:r>
      <w:proofErr w:type="spellEnd"/>
      <w:r w:rsidRPr="00807458">
        <w:rPr>
          <w:rFonts w:ascii="Arial Narrow" w:eastAsia="Times New Roman" w:hAnsi="Arial Narrow" w:cstheme="minorHAnsi"/>
          <w:color w:val="333333"/>
          <w:sz w:val="24"/>
          <w:szCs w:val="24"/>
          <w:lang w:eastAsia="pt-BR"/>
        </w:rPr>
        <w:t>) não se trata de concessão de serviço público; (</w:t>
      </w:r>
      <w:proofErr w:type="spellStart"/>
      <w:r w:rsidRPr="00807458">
        <w:rPr>
          <w:rFonts w:ascii="Arial Narrow" w:eastAsia="Times New Roman" w:hAnsi="Arial Narrow" w:cstheme="minorHAnsi"/>
          <w:color w:val="333333"/>
          <w:sz w:val="24"/>
          <w:szCs w:val="24"/>
          <w:lang w:eastAsia="pt-BR"/>
        </w:rPr>
        <w:t>iv</w:t>
      </w:r>
      <w:proofErr w:type="spellEnd"/>
      <w:r w:rsidRPr="00807458">
        <w:rPr>
          <w:rFonts w:ascii="Arial Narrow" w:eastAsia="Times New Roman" w:hAnsi="Arial Narrow" w:cstheme="minorHAnsi"/>
          <w:color w:val="333333"/>
          <w:sz w:val="24"/>
          <w:szCs w:val="24"/>
          <w:lang w:eastAsia="pt-BR"/>
        </w:rPr>
        <w:t>) há cabimento do sistema de registro de preços justamente pelo quesito da imprevisibilidade dos itinerários e da definição dos quantitativos (art. 3º, IV, Decreto federal nº 7.892/2013).</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r w:rsidRPr="00807458">
        <w:rPr>
          <w:rFonts w:ascii="Arial Narrow" w:eastAsia="Times New Roman" w:hAnsi="Arial Narrow" w:cstheme="minorHAnsi"/>
          <w:color w:val="333333"/>
          <w:sz w:val="24"/>
          <w:szCs w:val="24"/>
          <w:lang w:eastAsia="pt-BR"/>
        </w:rPr>
        <w:t>Assim, além de não preencher os critérios de admissibilidade, no mérito a impugnação é julgada improcedente.</w:t>
      </w:r>
    </w:p>
    <w:p w:rsidR="00807458" w:rsidRDefault="00807458" w:rsidP="00807458">
      <w:pPr>
        <w:shd w:val="clear" w:color="auto" w:fill="FFFFFF"/>
        <w:spacing w:after="0" w:line="312" w:lineRule="auto"/>
        <w:jc w:val="both"/>
        <w:rPr>
          <w:rFonts w:ascii="Arial Narrow" w:eastAsia="Times New Roman" w:hAnsi="Arial Narrow" w:cstheme="minorHAnsi"/>
          <w:color w:val="333333"/>
          <w:sz w:val="24"/>
          <w:szCs w:val="24"/>
          <w:lang w:eastAsia="pt-BR"/>
        </w:rPr>
      </w:pPr>
    </w:p>
    <w:p w:rsidR="00807458" w:rsidRPr="00807458" w:rsidRDefault="00807458" w:rsidP="00807458">
      <w:pPr>
        <w:spacing w:after="0" w:line="312" w:lineRule="auto"/>
        <w:jc w:val="both"/>
        <w:rPr>
          <w:rFonts w:ascii="Arial Narrow" w:hAnsi="Arial Narrow" w:cstheme="minorHAnsi"/>
          <w:sz w:val="24"/>
          <w:szCs w:val="24"/>
        </w:rPr>
      </w:pPr>
      <w:r w:rsidRPr="00807458">
        <w:rPr>
          <w:rFonts w:ascii="Arial Narrow" w:hAnsi="Arial Narrow" w:cstheme="minorHAnsi"/>
          <w:sz w:val="24"/>
          <w:szCs w:val="24"/>
        </w:rPr>
        <w:t>CÉLIO JOSÉ BERNARDINO</w:t>
      </w:r>
    </w:p>
    <w:p w:rsidR="000F6022" w:rsidRPr="00807458" w:rsidRDefault="00807458" w:rsidP="00807458">
      <w:pPr>
        <w:spacing w:after="0" w:line="312" w:lineRule="auto"/>
        <w:jc w:val="both"/>
        <w:rPr>
          <w:rFonts w:ascii="Arial Narrow" w:hAnsi="Arial Narrow" w:cstheme="minorHAnsi"/>
          <w:sz w:val="24"/>
          <w:szCs w:val="24"/>
        </w:rPr>
      </w:pPr>
      <w:r w:rsidRPr="00807458">
        <w:rPr>
          <w:rFonts w:ascii="Arial Narrow" w:hAnsi="Arial Narrow" w:cstheme="minorHAnsi"/>
          <w:sz w:val="24"/>
          <w:szCs w:val="24"/>
        </w:rPr>
        <w:t>Presidente da Comissão de Licitação - CITMAR</w:t>
      </w:r>
    </w:p>
    <w:sectPr w:rsidR="000F6022" w:rsidRPr="00807458" w:rsidSect="00984477">
      <w:headerReference w:type="default" r:id="rId6"/>
      <w:footerReference w:type="default" r:id="rId7"/>
      <w:pgSz w:w="11906" w:h="16838"/>
      <w:pgMar w:top="2410" w:right="1701" w:bottom="184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DFE" w:rsidRDefault="00702DFE" w:rsidP="00807458">
      <w:pPr>
        <w:spacing w:after="0" w:line="240" w:lineRule="auto"/>
      </w:pPr>
      <w:r>
        <w:separator/>
      </w:r>
    </w:p>
  </w:endnote>
  <w:endnote w:type="continuationSeparator" w:id="0">
    <w:p w:rsidR="00702DFE" w:rsidRDefault="00702DFE" w:rsidP="00807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458" w:rsidRDefault="00807458">
    <w:pPr>
      <w:pStyle w:val="Rodap"/>
    </w:pPr>
    <w:r>
      <w:rPr>
        <w:rFonts w:ascii="Times New Roman" w:eastAsia="Times New Roman" w:hAnsi="Times New Roman"/>
        <w:noProof/>
        <w:sz w:val="1"/>
      </w:rPr>
      <w:drawing>
        <wp:anchor distT="0" distB="0" distL="114300" distR="114300" simplePos="0" relativeHeight="251661312" behindDoc="1" locked="0" layoutInCell="1" allowOverlap="1" wp14:anchorId="79CEA871" wp14:editId="0820DE15">
          <wp:simplePos x="0" y="0"/>
          <wp:positionH relativeFrom="page">
            <wp:align>left</wp:align>
          </wp:positionH>
          <wp:positionV relativeFrom="paragraph">
            <wp:posOffset>-586740</wp:posOffset>
          </wp:positionV>
          <wp:extent cx="7400925" cy="1199515"/>
          <wp:effectExtent l="0" t="0" r="9525" b="635"/>
          <wp:wrapNone/>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00925" cy="11995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DFE" w:rsidRDefault="00702DFE" w:rsidP="00807458">
      <w:pPr>
        <w:spacing w:after="0" w:line="240" w:lineRule="auto"/>
      </w:pPr>
      <w:r>
        <w:separator/>
      </w:r>
    </w:p>
  </w:footnote>
  <w:footnote w:type="continuationSeparator" w:id="0">
    <w:p w:rsidR="00702DFE" w:rsidRDefault="00702DFE" w:rsidP="00807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458" w:rsidRDefault="00984477" w:rsidP="00984477">
    <w:pPr>
      <w:pStyle w:val="Cabealho"/>
      <w:tabs>
        <w:tab w:val="clear" w:pos="4252"/>
        <w:tab w:val="clear" w:pos="8504"/>
        <w:tab w:val="left" w:pos="1596"/>
      </w:tabs>
    </w:pPr>
    <w:r>
      <w:rPr>
        <w:rFonts w:ascii="Times New Roman" w:eastAsia="Times New Roman" w:hAnsi="Times New Roman"/>
        <w:noProof/>
        <w:sz w:val="24"/>
      </w:rPr>
      <w:drawing>
        <wp:anchor distT="0" distB="0" distL="114300" distR="114300" simplePos="0" relativeHeight="251663360" behindDoc="1" locked="0" layoutInCell="1" allowOverlap="1" wp14:anchorId="43E6FDFC" wp14:editId="0FAA9321">
          <wp:simplePos x="0" y="0"/>
          <wp:positionH relativeFrom="page">
            <wp:align>left</wp:align>
          </wp:positionH>
          <wp:positionV relativeFrom="page">
            <wp:posOffset>243205</wp:posOffset>
          </wp:positionV>
          <wp:extent cx="7369175" cy="1019175"/>
          <wp:effectExtent l="0" t="0" r="3175" b="9525"/>
          <wp:wrapNone/>
          <wp:docPr id="25"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369175" cy="1019175"/>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58"/>
    <w:rsid w:val="000E4F32"/>
    <w:rsid w:val="000F6022"/>
    <w:rsid w:val="00365B31"/>
    <w:rsid w:val="00702DFE"/>
    <w:rsid w:val="00807458"/>
    <w:rsid w:val="009844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5E0DEF-9C9C-4EA0-8CEB-957219BCC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745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7458"/>
  </w:style>
  <w:style w:type="paragraph" w:styleId="Rodap">
    <w:name w:val="footer"/>
    <w:basedOn w:val="Normal"/>
    <w:link w:val="RodapChar"/>
    <w:uiPriority w:val="99"/>
    <w:unhideWhenUsed/>
    <w:rsid w:val="00807458"/>
    <w:pPr>
      <w:tabs>
        <w:tab w:val="center" w:pos="4252"/>
        <w:tab w:val="right" w:pos="8504"/>
      </w:tabs>
      <w:spacing w:after="0" w:line="240" w:lineRule="auto"/>
    </w:pPr>
  </w:style>
  <w:style w:type="character" w:customStyle="1" w:styleId="RodapChar">
    <w:name w:val="Rodapé Char"/>
    <w:basedOn w:val="Fontepargpadro"/>
    <w:link w:val="Rodap"/>
    <w:uiPriority w:val="99"/>
    <w:rsid w:val="00807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93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3845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Iassana Rebelo</dc:creator>
  <cp:keywords/>
  <dc:description/>
  <cp:lastModifiedBy>Iassana Rebelo</cp:lastModifiedBy>
  <cp:revision>2</cp:revision>
  <dcterms:created xsi:type="dcterms:W3CDTF">2019-03-28T19:52:00Z</dcterms:created>
  <dcterms:modified xsi:type="dcterms:W3CDTF">2019-03-28T19:52:00Z</dcterms:modified>
</cp:coreProperties>
</file>