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FB544BA" w:rsidR="004E0A77" w:rsidRPr="004E0A77" w:rsidRDefault="006C6657" w:rsidP="004E0A77">
      <w:pPr>
        <w:rPr>
          <w:b/>
        </w:rPr>
      </w:pPr>
      <w:r>
        <w:rPr>
          <w:b/>
        </w:rPr>
        <w:t>- Balneário Camboriú (375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xml:space="preserve">- </w:t>
      </w:r>
      <w:r w:rsidR="006C6657">
        <w:t>Homem de 82 anos, sem comorbidades, no Hospital do Coração, no dia 11/07/2021;</w:t>
      </w:r>
    </w:p>
    <w:p w14:paraId="217E5178" w14:textId="66392D5D" w:rsidR="006C6657" w:rsidRDefault="006C6657" w:rsidP="006C6657">
      <w:r>
        <w:t>-</w:t>
      </w:r>
      <w:r>
        <w:t xml:space="preserve"> Mulher de 83 anos, com comorbidades, no Hospital Unimed, no dia 13/07/2021;</w:t>
      </w:r>
    </w:p>
    <w:p w14:paraId="0559B477" w14:textId="0DC515C1" w:rsidR="006C6657" w:rsidRDefault="006C6657" w:rsidP="006C6657">
      <w:r>
        <w:t>-</w:t>
      </w:r>
      <w:r>
        <w:t xml:space="preserve"> Mulher de 73 anos, com comorbidades, no Centro Municipal de Acolhimento e Tratamento da Covid-19, no dia 13/07/2021;</w:t>
      </w:r>
    </w:p>
    <w:p w14:paraId="2E4ED50A" w14:textId="5ACD3567" w:rsidR="00F265DA" w:rsidRDefault="006C6657" w:rsidP="006C6657">
      <w:r>
        <w:t>-</w:t>
      </w:r>
      <w:r>
        <w:t xml:space="preserve"> Homem de 38 anos, com comorbidades, no Centro Municipal de Acolhimento e Tratamento da Covid-19, no dia 13/07/2021.</w:t>
      </w:r>
    </w:p>
    <w:p w14:paraId="0D588D3C" w14:textId="77777777" w:rsidR="00C840C7" w:rsidRDefault="00C840C7" w:rsidP="00C840C7"/>
    <w:p w14:paraId="2A43409B" w14:textId="64909017" w:rsidR="004E0A77" w:rsidRPr="004E0A77" w:rsidRDefault="009E4D18" w:rsidP="004E0A77">
      <w:pPr>
        <w:rPr>
          <w:b/>
        </w:rPr>
      </w:pPr>
      <w:r>
        <w:rPr>
          <w:b/>
        </w:rPr>
        <w:t>- Balneário Piçarras (</w:t>
      </w:r>
      <w:r w:rsidR="001A4C27">
        <w:rPr>
          <w:b/>
        </w:rPr>
        <w:t>5</w:t>
      </w:r>
      <w:r w:rsidR="006C6657">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81D18CC"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 xml:space="preserve">omem de 66 anos, morador do Bairro Nossa Senhora da Conceição, que morreu no hospital </w:t>
      </w:r>
      <w:r w:rsidR="00923024" w:rsidRPr="00923024">
        <w:lastRenderedPageBreak/>
        <w:t>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Homem de 76 anos, morador do Itacolomi, com registro de comorbidades.</w:t>
      </w:r>
      <w:bookmarkStart w:id="0" w:name="_GoBack"/>
      <w:bookmarkEnd w:id="0"/>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lastRenderedPageBreak/>
        <w:br/>
        <w:t>- Homem de 60 anos, com registro de comorbidades.</w:t>
      </w:r>
    </w:p>
    <w:p w14:paraId="1804189D" w14:textId="77777777" w:rsidR="00B115F1" w:rsidRDefault="00B115F1" w:rsidP="004E0A77">
      <w:pPr>
        <w:rPr>
          <w:b/>
        </w:rPr>
      </w:pPr>
    </w:p>
    <w:p w14:paraId="10F4BEC3" w14:textId="71A1B579" w:rsidR="004E0A77" w:rsidRPr="004E0A77" w:rsidRDefault="002B2826" w:rsidP="004E0A77">
      <w:pPr>
        <w:rPr>
          <w:b/>
        </w:rPr>
      </w:pPr>
      <w:r>
        <w:rPr>
          <w:b/>
        </w:rPr>
        <w:t>- Camboriú (</w:t>
      </w:r>
      <w:r w:rsidR="003124B7">
        <w:rPr>
          <w:b/>
        </w:rPr>
        <w:t>152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r>
      <w:r w:rsidR="009D437B">
        <w:lastRenderedPageBreak/>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 xml:space="preserve">morador do bairro Santa Regina,  que estava internada no Hospital </w:t>
      </w:r>
      <w:r w:rsidR="00E92D1F" w:rsidRPr="005E3141">
        <w:lastRenderedPageBreak/>
        <w:t>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2195264"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w:t>
      </w:r>
      <w:r w:rsidR="0020038E" w:rsidRPr="0020038E">
        <w:lastRenderedPageBreak/>
        <w:t>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w:t>
      </w:r>
      <w:r w:rsidR="0087767D" w:rsidRPr="0087767D">
        <w:lastRenderedPageBreak/>
        <w:t xml:space="preserve">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morador do bairro Monte Alegre, que estava internado no Hospital Municipal Ruth Cardoso e não possuía registro de comorbidade.</w:t>
      </w:r>
      <w:r w:rsidRPr="003124B7">
        <w:br/>
      </w:r>
    </w:p>
    <w:p w14:paraId="4C1A3094" w14:textId="3D0841DC" w:rsidR="004E0A77" w:rsidRPr="004E0A77" w:rsidRDefault="00712D7A" w:rsidP="008A11E8">
      <w:pPr>
        <w:rPr>
          <w:b/>
        </w:rPr>
      </w:pPr>
      <w:r w:rsidRPr="008A11E8">
        <w:rPr>
          <w:b/>
        </w:rPr>
        <w:t>-</w:t>
      </w:r>
      <w:r>
        <w:rPr>
          <w:b/>
        </w:rPr>
        <w:t xml:space="preserve"> Ilhota (</w:t>
      </w:r>
      <w:r w:rsidR="00A73C86">
        <w:rPr>
          <w:b/>
        </w:rPr>
        <w:t>27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726ADC7A" w:rsidR="00384D42"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lastRenderedPageBreak/>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omem de 33 anos, morador do Centro da cidade.</w:t>
      </w:r>
    </w:p>
    <w:p w14:paraId="4CD55A0C" w14:textId="77777777" w:rsidR="00A73C86" w:rsidRPr="0062523A" w:rsidRDefault="00A73C86" w:rsidP="0062523A"/>
    <w:p w14:paraId="011E3982" w14:textId="1C805FE6" w:rsidR="004E0A77" w:rsidRPr="004E0A77" w:rsidRDefault="00D32EAE" w:rsidP="004E0A77">
      <w:pPr>
        <w:rPr>
          <w:b/>
        </w:rPr>
      </w:pPr>
      <w:r>
        <w:rPr>
          <w:b/>
        </w:rPr>
        <w:t>- Itajaí (</w:t>
      </w:r>
      <w:r w:rsidR="009D6049">
        <w:rPr>
          <w:b/>
        </w:rPr>
        <w:t>682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lastRenderedPageBreak/>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lastRenderedPageBreak/>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lastRenderedPageBreak/>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lastRenderedPageBreak/>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lastRenderedPageBreak/>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lastRenderedPageBreak/>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lastRenderedPageBreak/>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lastRenderedPageBreak/>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lastRenderedPageBreak/>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lastRenderedPageBreak/>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lastRenderedPageBreak/>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r>
      <w:r w:rsidR="009E4D18">
        <w:lastRenderedPageBreak/>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r>
      <w:r>
        <w:lastRenderedPageBreak/>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lastRenderedPageBreak/>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464CED0F" w14:textId="0ACFD8F6" w:rsidR="006D11C2"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anos, com registro de comorbidade</w:t>
      </w:r>
      <w:r w:rsidR="009D6049">
        <w:rPr>
          <w:rFonts w:ascii="Arial" w:hAnsi="Arial" w:cs="Arial"/>
          <w:color w:val="000000"/>
          <w:sz w:val="21"/>
          <w:szCs w:val="21"/>
          <w:shd w:val="clear" w:color="auto" w:fill="FFFFFF"/>
        </w:rPr>
        <w:t>.</w:t>
      </w:r>
    </w:p>
    <w:p w14:paraId="73CF0AE6" w14:textId="77777777" w:rsidR="006D11C2" w:rsidRDefault="006D11C2" w:rsidP="00D32EAE">
      <w:pPr>
        <w:rPr>
          <w:rFonts w:ascii="Arial" w:hAnsi="Arial" w:cs="Arial"/>
          <w:color w:val="000000"/>
          <w:sz w:val="21"/>
          <w:szCs w:val="21"/>
          <w:shd w:val="clear" w:color="auto" w:fill="FFFFFF"/>
        </w:rPr>
      </w:pPr>
    </w:p>
    <w:p w14:paraId="076DA61B" w14:textId="17E27CCB" w:rsidR="004E0A77" w:rsidRPr="009E4D18" w:rsidRDefault="001D70AB" w:rsidP="00D32EAE">
      <w:r>
        <w:rPr>
          <w:b/>
        </w:rPr>
        <w:t>- Itapema (</w:t>
      </w:r>
      <w:r w:rsidR="00F25E57">
        <w:rPr>
          <w:b/>
        </w:rPr>
        <w:t>237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lastRenderedPageBreak/>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lastRenderedPageBreak/>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lastRenderedPageBreak/>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lastRenderedPageBreak/>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lastRenderedPageBreak/>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lastRenderedPageBreak/>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lastRenderedPageBreak/>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lastRenderedPageBreak/>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lastRenderedPageBreak/>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1538E89B" w14:textId="5637C49C" w:rsidR="00A7696F" w:rsidRDefault="0099759A" w:rsidP="0099759A">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p>
    <w:p w14:paraId="0B7F6C05" w14:textId="5DFDA699" w:rsidR="004E0A77" w:rsidRPr="004E0A77" w:rsidRDefault="00641306" w:rsidP="00A6009D">
      <w:pPr>
        <w:rPr>
          <w:b/>
        </w:rPr>
      </w:pPr>
      <w:r>
        <w:br/>
      </w:r>
      <w:r w:rsidR="004723D6">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lastRenderedPageBreak/>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7E89C605" w:rsidR="004E0A77" w:rsidRPr="004E0A77" w:rsidRDefault="00176686" w:rsidP="004E0A77">
      <w:pPr>
        <w:rPr>
          <w:b/>
        </w:rPr>
      </w:pPr>
      <w:r>
        <w:rPr>
          <w:b/>
        </w:rPr>
        <w:t>- Nave</w:t>
      </w:r>
      <w:r w:rsidR="00786564">
        <w:rPr>
          <w:b/>
        </w:rPr>
        <w:t>gantes (169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lastRenderedPageBreak/>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lastRenderedPageBreak/>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lastRenderedPageBreak/>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lastRenderedPageBreak/>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lastRenderedPageBreak/>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lastRenderedPageBreak/>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lastRenderedPageBreak/>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lastRenderedPageBreak/>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075EB8C8" w:rsidR="00237B20" w:rsidRDefault="0089214B" w:rsidP="0089214B">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Hospital Marieta Konder Bornhausen.</w:t>
      </w:r>
    </w:p>
    <w:p w14:paraId="057BEEF7" w14:textId="77777777" w:rsidR="0089214B" w:rsidRPr="00237B20" w:rsidRDefault="0089214B" w:rsidP="0089214B"/>
    <w:p w14:paraId="04691635" w14:textId="2A2C1832" w:rsidR="004E0A77" w:rsidRPr="004E0A77" w:rsidRDefault="00DD72D7" w:rsidP="004E0A77">
      <w:pPr>
        <w:rPr>
          <w:b/>
        </w:rPr>
      </w:pPr>
      <w:r>
        <w:rPr>
          <w:b/>
        </w:rPr>
        <w:t>- Penha (</w:t>
      </w:r>
      <w:r w:rsidR="00621A49">
        <w:rPr>
          <w:b/>
        </w:rPr>
        <w:t>84</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lastRenderedPageBreak/>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r>
      <w:r w:rsidR="00804C6B">
        <w:lastRenderedPageBreak/>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lastRenderedPageBreak/>
        <w:t>- Homem de 59 anos, morador do Mariscal, que tinha como comorbidade diabetes e hipertensão e, foi internado no dia 1 de maio no Hospital Marieta Konder Bornhau</w:t>
      </w:r>
      <w:r w:rsidR="00DB63CE">
        <w:t>sen e faleceu no dia 17 de maio;</w:t>
      </w:r>
    </w:p>
    <w:p w14:paraId="098A3DFC" w14:textId="1FB99806" w:rsidR="002851CC" w:rsidRPr="008035A2" w:rsidRDefault="00DB63CE" w:rsidP="008035A2">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comorbidades, obesidade e tabagismo.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lastRenderedPageBreak/>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lastRenderedPageBreak/>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5F98"/>
    <w:rsid w:val="00281D9C"/>
    <w:rsid w:val="00282DF3"/>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D13F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88</Pages>
  <Words>25374</Words>
  <Characters>137025</Characters>
  <Application>Microsoft Office Word</Application>
  <DocSecurity>0</DocSecurity>
  <Lines>1141</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488</cp:revision>
  <dcterms:created xsi:type="dcterms:W3CDTF">2021-03-05T16:29:00Z</dcterms:created>
  <dcterms:modified xsi:type="dcterms:W3CDTF">2021-07-15T17:10:00Z</dcterms:modified>
</cp:coreProperties>
</file>