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523B" w:rsidRDefault="005C523B"/>
    <w:p w:rsidR="00B164DE" w:rsidRPr="00B164DE" w:rsidRDefault="00B164DE" w:rsidP="00B164DE">
      <w:pPr>
        <w:spacing w:before="100" w:beforeAutospacing="1" w:after="100" w:afterAutospacing="1" w:line="240" w:lineRule="auto"/>
        <w:textAlignment w:val="top"/>
        <w:rPr>
          <w:rFonts w:ascii="Tahoma" w:eastAsia="Times New Roman" w:hAnsi="Tahoma" w:cs="Tahoma"/>
          <w:color w:val="385260"/>
          <w:sz w:val="17"/>
          <w:szCs w:val="17"/>
          <w:lang w:eastAsia="pt-BR"/>
        </w:rPr>
      </w:pPr>
      <w:r w:rsidRPr="00B164DE">
        <w:rPr>
          <w:rFonts w:ascii="Tahoma" w:eastAsia="Times New Roman" w:hAnsi="Tahoma" w:cs="Tahoma"/>
          <w:b/>
          <w:bCs/>
          <w:color w:val="385260"/>
          <w:sz w:val="17"/>
          <w:szCs w:val="17"/>
          <w:lang w:eastAsia="pt-BR"/>
        </w:rPr>
        <w:t>Ministro arquiva ação contra divulgação nominal de salários de servidores</w:t>
      </w:r>
    </w:p>
    <w:p w:rsidR="00B164DE" w:rsidRPr="00B164DE" w:rsidRDefault="00B164DE" w:rsidP="00B164DE">
      <w:pPr>
        <w:spacing w:before="100" w:beforeAutospacing="1" w:after="100" w:afterAutospacing="1" w:line="240" w:lineRule="auto"/>
        <w:textAlignment w:val="top"/>
        <w:rPr>
          <w:rFonts w:ascii="Tahoma" w:eastAsia="Times New Roman" w:hAnsi="Tahoma" w:cs="Tahoma"/>
          <w:color w:val="385260"/>
          <w:sz w:val="17"/>
          <w:szCs w:val="17"/>
          <w:lang w:eastAsia="pt-BR"/>
        </w:rPr>
      </w:pPr>
      <w:r w:rsidRPr="00B164DE">
        <w:rPr>
          <w:rFonts w:ascii="Tahoma" w:eastAsia="Times New Roman" w:hAnsi="Tahoma" w:cs="Tahoma"/>
          <w:color w:val="385260"/>
          <w:sz w:val="17"/>
          <w:szCs w:val="17"/>
          <w:lang w:eastAsia="pt-BR"/>
        </w:rPr>
        <w:t xml:space="preserve">O ministro Luiz </w:t>
      </w:r>
      <w:proofErr w:type="spellStart"/>
      <w:r w:rsidRPr="00B164DE">
        <w:rPr>
          <w:rFonts w:ascii="Tahoma" w:eastAsia="Times New Roman" w:hAnsi="Tahoma" w:cs="Tahoma"/>
          <w:color w:val="385260"/>
          <w:sz w:val="17"/>
          <w:szCs w:val="17"/>
          <w:lang w:eastAsia="pt-BR"/>
        </w:rPr>
        <w:t>Fux</w:t>
      </w:r>
      <w:proofErr w:type="spellEnd"/>
      <w:r w:rsidRPr="00B164DE">
        <w:rPr>
          <w:rFonts w:ascii="Tahoma" w:eastAsia="Times New Roman" w:hAnsi="Tahoma" w:cs="Tahoma"/>
          <w:color w:val="385260"/>
          <w:sz w:val="17"/>
          <w:szCs w:val="17"/>
          <w:lang w:eastAsia="pt-BR"/>
        </w:rPr>
        <w:t>, do Supremo Tribunal Federal (STF), negou seguimento (arquivou) à Ação Originária (AO) 1823, que trata da publicidade de informações sobre a remuneração de servidores do Tribunal de Justiça de Minas Gerais (TJ-MG). Na origem, trata-se de mandado de segurança impetrado contra ato do presidente do TJ mineiro que, com base na Resolução 151/2012, do Conselho Nacional de Justiça (CNJ), determinou a divulgação do nome completo dos servidores e da correspondente remuneração no link “Transparência/Pessoal” do portal do TJ-MG.</w:t>
      </w:r>
    </w:p>
    <w:p w:rsidR="00B164DE" w:rsidRPr="00B164DE" w:rsidRDefault="00B164DE" w:rsidP="00B164DE">
      <w:pPr>
        <w:spacing w:before="100" w:beforeAutospacing="1" w:after="100" w:afterAutospacing="1" w:line="240" w:lineRule="auto"/>
        <w:textAlignment w:val="top"/>
        <w:rPr>
          <w:rFonts w:ascii="Tahoma" w:eastAsia="Times New Roman" w:hAnsi="Tahoma" w:cs="Tahoma"/>
          <w:color w:val="385260"/>
          <w:sz w:val="17"/>
          <w:szCs w:val="17"/>
          <w:lang w:eastAsia="pt-BR"/>
        </w:rPr>
      </w:pPr>
      <w:r w:rsidRPr="00B164DE">
        <w:rPr>
          <w:rFonts w:ascii="Tahoma" w:eastAsia="Times New Roman" w:hAnsi="Tahoma" w:cs="Tahoma"/>
          <w:color w:val="385260"/>
          <w:sz w:val="17"/>
          <w:szCs w:val="17"/>
          <w:lang w:eastAsia="pt-BR"/>
        </w:rPr>
        <w:t>Naquela corte, os servidores que impetraram o MS alegavam que a portaria, de agosto de 2012, “vem lhes causando, mês a mês, o deletério acesso e a divulgação dos salários ao público com a citação nominal dos nomes dos impetrantes, malferindo o direito líquido e certo de terem respeitados o direito à intimidade e à privacidade”. Afirmavam estar acordo com a cultura da transparência, implementada pela Lei de Acesso à Informação [Lei 12.527/2011], e com a divulgação da estrutura e composição dos salários dos servidores públicos, "desde que seja levada a efeito sem a citação nominal e individualização pessoal</w:t>
      </w:r>
      <w:proofErr w:type="gramStart"/>
      <w:r w:rsidRPr="00B164DE">
        <w:rPr>
          <w:rFonts w:ascii="Tahoma" w:eastAsia="Times New Roman" w:hAnsi="Tahoma" w:cs="Tahoma"/>
          <w:color w:val="385260"/>
          <w:sz w:val="17"/>
          <w:szCs w:val="17"/>
          <w:lang w:eastAsia="pt-BR"/>
        </w:rPr>
        <w:t xml:space="preserve"> ”</w:t>
      </w:r>
      <w:proofErr w:type="gramEnd"/>
      <w:r w:rsidRPr="00B164DE">
        <w:rPr>
          <w:rFonts w:ascii="Tahoma" w:eastAsia="Times New Roman" w:hAnsi="Tahoma" w:cs="Tahoma"/>
          <w:color w:val="385260"/>
          <w:sz w:val="17"/>
          <w:szCs w:val="17"/>
          <w:lang w:eastAsia="pt-BR"/>
        </w:rPr>
        <w:t>. Sustentaram, ainda, que a Resolução do CNJ não poderia "inovar a ordem jurídica" nem "ampliar e definir o dever jurídico de publicação dos salários de forma nominal e individualizada”.</w:t>
      </w:r>
    </w:p>
    <w:p w:rsidR="00B164DE" w:rsidRPr="00B164DE" w:rsidRDefault="00B164DE" w:rsidP="00B164DE">
      <w:pPr>
        <w:spacing w:before="100" w:beforeAutospacing="1" w:after="100" w:afterAutospacing="1" w:line="240" w:lineRule="auto"/>
        <w:textAlignment w:val="top"/>
        <w:rPr>
          <w:rFonts w:ascii="Tahoma" w:eastAsia="Times New Roman" w:hAnsi="Tahoma" w:cs="Tahoma"/>
          <w:color w:val="385260"/>
          <w:sz w:val="17"/>
          <w:szCs w:val="17"/>
          <w:lang w:eastAsia="pt-BR"/>
        </w:rPr>
      </w:pPr>
      <w:r w:rsidRPr="00B164DE">
        <w:rPr>
          <w:rFonts w:ascii="Tahoma" w:eastAsia="Times New Roman" w:hAnsi="Tahoma" w:cs="Tahoma"/>
          <w:color w:val="385260"/>
          <w:sz w:val="17"/>
          <w:szCs w:val="17"/>
          <w:lang w:eastAsia="pt-BR"/>
        </w:rPr>
        <w:t>Em setembro de 2012, o relator do caso no TJ-MG concedeu liminar para suspender a divulgação dos nomes dos servidores, substituindo-os pelos quatro últimos algarismos e dígito verificador de suas respectivas matrículas. Contudo, ao apreciar agravo contra a decisão monocrática, a corte mineira afastou a liminar.</w:t>
      </w:r>
    </w:p>
    <w:p w:rsidR="00B164DE" w:rsidRPr="00B164DE" w:rsidRDefault="00B164DE" w:rsidP="00B164DE">
      <w:pPr>
        <w:spacing w:before="100" w:beforeAutospacing="1" w:after="100" w:afterAutospacing="1" w:line="240" w:lineRule="auto"/>
        <w:textAlignment w:val="top"/>
        <w:rPr>
          <w:rFonts w:ascii="Tahoma" w:eastAsia="Times New Roman" w:hAnsi="Tahoma" w:cs="Tahoma"/>
          <w:color w:val="385260"/>
          <w:sz w:val="17"/>
          <w:szCs w:val="17"/>
          <w:lang w:eastAsia="pt-BR"/>
        </w:rPr>
      </w:pPr>
      <w:r w:rsidRPr="00B164DE">
        <w:rPr>
          <w:rFonts w:ascii="Tahoma" w:eastAsia="Times New Roman" w:hAnsi="Tahoma" w:cs="Tahoma"/>
          <w:color w:val="385260"/>
          <w:sz w:val="17"/>
          <w:szCs w:val="17"/>
          <w:lang w:eastAsia="pt-BR"/>
        </w:rPr>
        <w:t>A União requereu ingresso na causa e os autos foram remetidos ao STF, tendo em vista que o caso envolve a aplicação de resolução do CNJ, conforme previsto no artigo 102, inciso I, alínea ‘r’, da Constituição Federal.</w:t>
      </w:r>
    </w:p>
    <w:p w:rsidR="00B164DE" w:rsidRPr="00B164DE" w:rsidRDefault="00B164DE" w:rsidP="00B164DE">
      <w:pPr>
        <w:spacing w:before="100" w:beforeAutospacing="1" w:after="100" w:afterAutospacing="1" w:line="240" w:lineRule="auto"/>
        <w:textAlignment w:val="top"/>
        <w:rPr>
          <w:rFonts w:ascii="Tahoma" w:eastAsia="Times New Roman" w:hAnsi="Tahoma" w:cs="Tahoma"/>
          <w:color w:val="385260"/>
          <w:sz w:val="17"/>
          <w:szCs w:val="17"/>
          <w:lang w:eastAsia="pt-BR"/>
        </w:rPr>
      </w:pPr>
      <w:r w:rsidRPr="00B164DE">
        <w:rPr>
          <w:rFonts w:ascii="Tahoma" w:eastAsia="Times New Roman" w:hAnsi="Tahoma" w:cs="Tahoma"/>
          <w:b/>
          <w:bCs/>
          <w:color w:val="385260"/>
          <w:sz w:val="17"/>
          <w:szCs w:val="17"/>
          <w:lang w:eastAsia="pt-BR"/>
        </w:rPr>
        <w:t>Transparência</w:t>
      </w:r>
    </w:p>
    <w:p w:rsidR="00B164DE" w:rsidRPr="00B164DE" w:rsidRDefault="00B164DE" w:rsidP="00B164DE">
      <w:pPr>
        <w:spacing w:before="100" w:beforeAutospacing="1" w:after="100" w:afterAutospacing="1" w:line="240" w:lineRule="auto"/>
        <w:textAlignment w:val="top"/>
        <w:rPr>
          <w:rFonts w:ascii="Tahoma" w:eastAsia="Times New Roman" w:hAnsi="Tahoma" w:cs="Tahoma"/>
          <w:color w:val="385260"/>
          <w:sz w:val="17"/>
          <w:szCs w:val="17"/>
          <w:lang w:eastAsia="pt-BR"/>
        </w:rPr>
      </w:pPr>
      <w:r w:rsidRPr="00B164DE">
        <w:rPr>
          <w:rFonts w:ascii="Tahoma" w:eastAsia="Times New Roman" w:hAnsi="Tahoma" w:cs="Tahoma"/>
          <w:color w:val="385260"/>
          <w:sz w:val="17"/>
          <w:szCs w:val="17"/>
          <w:lang w:eastAsia="pt-BR"/>
        </w:rPr>
        <w:t xml:space="preserve">Segundo o ministro Luiz </w:t>
      </w:r>
      <w:proofErr w:type="spellStart"/>
      <w:r w:rsidRPr="00B164DE">
        <w:rPr>
          <w:rFonts w:ascii="Tahoma" w:eastAsia="Times New Roman" w:hAnsi="Tahoma" w:cs="Tahoma"/>
          <w:color w:val="385260"/>
          <w:sz w:val="17"/>
          <w:szCs w:val="17"/>
          <w:lang w:eastAsia="pt-BR"/>
        </w:rPr>
        <w:t>Fux</w:t>
      </w:r>
      <w:proofErr w:type="spellEnd"/>
      <w:r w:rsidRPr="00B164DE">
        <w:rPr>
          <w:rFonts w:ascii="Tahoma" w:eastAsia="Times New Roman" w:hAnsi="Tahoma" w:cs="Tahoma"/>
          <w:color w:val="385260"/>
          <w:sz w:val="17"/>
          <w:szCs w:val="17"/>
          <w:lang w:eastAsia="pt-BR"/>
        </w:rPr>
        <w:t>, a matéria não é nova no Supremo, que já decidiu "em sentido diametralmente oposto" no agravo regimental na Suspensão de Segurança (SS) 3902. Na ocasião, o STF entendeu que o cidadão que decide ingressar no serviço público adere ao regime jurídico próprio da Administração Púbica, que prevê a publicidade de todas as informações de interesse da coletividade, dentre elas a remuneração dos seus servidores. “Desse modo, não há falar em violação ao direito líquido e certo do servidor de ter asseguradas a intimidade e a privacidade”, salientou.</w:t>
      </w:r>
    </w:p>
    <w:p w:rsidR="00B164DE" w:rsidRPr="00B164DE" w:rsidRDefault="00B164DE" w:rsidP="00B164DE">
      <w:pPr>
        <w:spacing w:before="100" w:beforeAutospacing="1" w:after="100" w:afterAutospacing="1" w:line="240" w:lineRule="auto"/>
        <w:textAlignment w:val="top"/>
        <w:rPr>
          <w:rFonts w:ascii="Tahoma" w:eastAsia="Times New Roman" w:hAnsi="Tahoma" w:cs="Tahoma"/>
          <w:color w:val="385260"/>
          <w:sz w:val="17"/>
          <w:szCs w:val="17"/>
          <w:lang w:eastAsia="pt-BR"/>
        </w:rPr>
      </w:pPr>
      <w:r w:rsidRPr="00B164DE">
        <w:rPr>
          <w:rFonts w:ascii="Tahoma" w:eastAsia="Times New Roman" w:hAnsi="Tahoma" w:cs="Tahoma"/>
          <w:color w:val="385260"/>
          <w:sz w:val="17"/>
          <w:szCs w:val="17"/>
          <w:lang w:eastAsia="pt-BR"/>
        </w:rPr>
        <w:t xml:space="preserve">De acordo com o ministro </w:t>
      </w:r>
      <w:proofErr w:type="spellStart"/>
      <w:r w:rsidRPr="00B164DE">
        <w:rPr>
          <w:rFonts w:ascii="Tahoma" w:eastAsia="Times New Roman" w:hAnsi="Tahoma" w:cs="Tahoma"/>
          <w:color w:val="385260"/>
          <w:sz w:val="17"/>
          <w:szCs w:val="17"/>
          <w:lang w:eastAsia="pt-BR"/>
        </w:rPr>
        <w:t>Fux</w:t>
      </w:r>
      <w:proofErr w:type="spellEnd"/>
      <w:r w:rsidRPr="00B164DE">
        <w:rPr>
          <w:rFonts w:ascii="Tahoma" w:eastAsia="Times New Roman" w:hAnsi="Tahoma" w:cs="Tahoma"/>
          <w:color w:val="385260"/>
          <w:sz w:val="17"/>
          <w:szCs w:val="17"/>
          <w:lang w:eastAsia="pt-BR"/>
        </w:rPr>
        <w:t xml:space="preserve">, o relator da Suspensão de Segurança, ministro Ayres Britto (aposentado), assentou que o cargo e função </w:t>
      </w:r>
      <w:proofErr w:type="spellStart"/>
      <w:r w:rsidRPr="00B164DE">
        <w:rPr>
          <w:rFonts w:ascii="Tahoma" w:eastAsia="Times New Roman" w:hAnsi="Tahoma" w:cs="Tahoma"/>
          <w:color w:val="385260"/>
          <w:sz w:val="17"/>
          <w:szCs w:val="17"/>
          <w:lang w:eastAsia="pt-BR"/>
        </w:rPr>
        <w:t>titularizados</w:t>
      </w:r>
      <w:proofErr w:type="spellEnd"/>
      <w:r w:rsidRPr="00B164DE">
        <w:rPr>
          <w:rFonts w:ascii="Tahoma" w:eastAsia="Times New Roman" w:hAnsi="Tahoma" w:cs="Tahoma"/>
          <w:color w:val="385260"/>
          <w:sz w:val="17"/>
          <w:szCs w:val="17"/>
          <w:lang w:eastAsia="pt-BR"/>
        </w:rPr>
        <w:t xml:space="preserve"> pelo servidor público e sua remuneração são informações de interesse geral, tendo em vista se tratar de agente público. Destacou, também, que essas informações não estão abrangidas pela ressalva prevista na parte final do inciso XXXIII do artigo 5º da Constituição Federal, uma vez que seu sigilo não é imprescindível à segurança da sociedade e do Estado.</w:t>
      </w:r>
    </w:p>
    <w:p w:rsidR="00B164DE" w:rsidRPr="00B164DE" w:rsidRDefault="00B164DE" w:rsidP="00B164DE">
      <w:pPr>
        <w:spacing w:before="100" w:beforeAutospacing="1" w:after="100" w:afterAutospacing="1" w:line="240" w:lineRule="auto"/>
        <w:textAlignment w:val="top"/>
        <w:rPr>
          <w:rFonts w:ascii="Tahoma" w:eastAsia="Times New Roman" w:hAnsi="Tahoma" w:cs="Tahoma"/>
          <w:color w:val="385260"/>
          <w:sz w:val="17"/>
          <w:szCs w:val="17"/>
          <w:lang w:eastAsia="pt-BR"/>
        </w:rPr>
      </w:pPr>
      <w:r w:rsidRPr="00B164DE">
        <w:rPr>
          <w:rFonts w:ascii="Tahoma" w:eastAsia="Times New Roman" w:hAnsi="Tahoma" w:cs="Tahoma"/>
          <w:color w:val="385260"/>
          <w:sz w:val="17"/>
          <w:szCs w:val="17"/>
          <w:lang w:eastAsia="pt-BR"/>
        </w:rPr>
        <w:t xml:space="preserve">Dessa forma, o ministro </w:t>
      </w:r>
      <w:proofErr w:type="spellStart"/>
      <w:r w:rsidRPr="00B164DE">
        <w:rPr>
          <w:rFonts w:ascii="Tahoma" w:eastAsia="Times New Roman" w:hAnsi="Tahoma" w:cs="Tahoma"/>
          <w:color w:val="385260"/>
          <w:sz w:val="17"/>
          <w:szCs w:val="17"/>
          <w:lang w:eastAsia="pt-BR"/>
        </w:rPr>
        <w:t>Fux</w:t>
      </w:r>
      <w:proofErr w:type="spellEnd"/>
      <w:r w:rsidRPr="00B164DE">
        <w:rPr>
          <w:rFonts w:ascii="Tahoma" w:eastAsia="Times New Roman" w:hAnsi="Tahoma" w:cs="Tahoma"/>
          <w:color w:val="385260"/>
          <w:sz w:val="17"/>
          <w:szCs w:val="17"/>
          <w:lang w:eastAsia="pt-BR"/>
        </w:rPr>
        <w:t xml:space="preserve"> entendeu que a resolução não extrapolou o poder regulamentar conferido ao CNJ, mas apenas disciplinou a forma de divulgação de informação que interessa à coletividade. “A resolução foi editada exatamente com a finalidade de dar concretude aos princípios da transparência e da publicidade que norteiam a atuação do Poder Púbico e considerando a necessidade de regulamentar a aplicação da Lei 12.527/2011 relativamente ao Poder Judiciário”, considerou.</w:t>
      </w:r>
    </w:p>
    <w:p w:rsidR="00B164DE" w:rsidRPr="00B164DE" w:rsidRDefault="00B164DE" w:rsidP="00B164DE">
      <w:pPr>
        <w:spacing w:before="100" w:beforeAutospacing="1" w:after="100" w:afterAutospacing="1" w:line="240" w:lineRule="auto"/>
        <w:textAlignment w:val="top"/>
        <w:rPr>
          <w:rFonts w:ascii="Tahoma" w:eastAsia="Times New Roman" w:hAnsi="Tahoma" w:cs="Tahoma"/>
          <w:color w:val="385260"/>
          <w:sz w:val="17"/>
          <w:szCs w:val="17"/>
          <w:lang w:eastAsia="pt-BR"/>
        </w:rPr>
      </w:pPr>
      <w:r w:rsidRPr="00B164DE">
        <w:rPr>
          <w:rFonts w:ascii="Tahoma" w:eastAsia="Times New Roman" w:hAnsi="Tahoma" w:cs="Tahoma"/>
          <w:color w:val="385260"/>
          <w:sz w:val="17"/>
          <w:szCs w:val="17"/>
          <w:lang w:eastAsia="pt-BR"/>
        </w:rPr>
        <w:t>EC/AD</w:t>
      </w:r>
    </w:p>
    <w:tbl>
      <w:tblPr>
        <w:tblW w:w="0" w:type="auto"/>
        <w:tblCellSpacing w:w="15" w:type="dxa"/>
        <w:tblCellMar>
          <w:top w:w="15" w:type="dxa"/>
          <w:left w:w="15" w:type="dxa"/>
          <w:bottom w:w="15" w:type="dxa"/>
          <w:right w:w="15" w:type="dxa"/>
        </w:tblCellMar>
        <w:tblLook w:val="04A0"/>
      </w:tblPr>
      <w:tblGrid>
        <w:gridCol w:w="2190"/>
      </w:tblGrid>
      <w:tr w:rsidR="00B164DE" w:rsidRPr="00B164DE" w:rsidTr="00B164DE">
        <w:trPr>
          <w:tblCellSpacing w:w="15" w:type="dxa"/>
        </w:trPr>
        <w:tc>
          <w:tcPr>
            <w:tcW w:w="0" w:type="auto"/>
            <w:tcMar>
              <w:top w:w="92" w:type="dxa"/>
              <w:left w:w="74" w:type="dxa"/>
              <w:bottom w:w="0" w:type="dxa"/>
              <w:right w:w="74" w:type="dxa"/>
            </w:tcMar>
            <w:vAlign w:val="center"/>
            <w:hideMark/>
          </w:tcPr>
          <w:p w:rsidR="00B164DE" w:rsidRPr="00B164DE" w:rsidRDefault="00B164DE" w:rsidP="00B164DE">
            <w:pPr>
              <w:spacing w:after="0" w:line="240" w:lineRule="auto"/>
              <w:jc w:val="center"/>
              <w:textAlignment w:val="top"/>
              <w:rPr>
                <w:rFonts w:ascii="Tahoma" w:eastAsia="Times New Roman" w:hAnsi="Tahoma" w:cs="Tahoma"/>
                <w:color w:val="385260"/>
                <w:sz w:val="17"/>
                <w:szCs w:val="17"/>
                <w:lang w:eastAsia="pt-BR"/>
              </w:rPr>
            </w:pPr>
            <w:r w:rsidRPr="00B164DE">
              <w:rPr>
                <w:rFonts w:ascii="Tahoma" w:eastAsia="Times New Roman" w:hAnsi="Tahoma" w:cs="Tahoma"/>
                <w:b/>
                <w:bCs/>
                <w:color w:val="385260"/>
                <w:sz w:val="17"/>
                <w:lang w:eastAsia="pt-BR"/>
              </w:rPr>
              <w:t>Processos relacionados</w:t>
            </w:r>
            <w:r w:rsidRPr="00B164DE">
              <w:rPr>
                <w:rFonts w:ascii="Tahoma" w:eastAsia="Times New Roman" w:hAnsi="Tahoma" w:cs="Tahoma"/>
                <w:color w:val="385260"/>
                <w:sz w:val="17"/>
                <w:szCs w:val="17"/>
                <w:lang w:eastAsia="pt-BR"/>
              </w:rPr>
              <w:br/>
            </w:r>
            <w:hyperlink r:id="rId4" w:history="1">
              <w:proofErr w:type="gramStart"/>
              <w:r w:rsidRPr="00B164DE">
                <w:rPr>
                  <w:rFonts w:ascii="Tahoma" w:eastAsia="Times New Roman" w:hAnsi="Tahoma" w:cs="Tahoma"/>
                  <w:color w:val="066194"/>
                  <w:sz w:val="17"/>
                  <w:lang w:eastAsia="pt-BR"/>
                </w:rPr>
                <w:t>AO 1823</w:t>
              </w:r>
              <w:proofErr w:type="gramEnd"/>
            </w:hyperlink>
          </w:p>
        </w:tc>
      </w:tr>
    </w:tbl>
    <w:p w:rsidR="00B164DE" w:rsidRDefault="00B164DE"/>
    <w:sectPr w:rsidR="00B164DE" w:rsidSect="005C523B">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2"/>
  <w:proofState w:spelling="clean" w:grammar="clean"/>
  <w:defaultTabStop w:val="708"/>
  <w:hyphenationZone w:val="425"/>
  <w:characterSpacingControl w:val="doNotCompress"/>
  <w:compat/>
  <w:rsids>
    <w:rsidRoot w:val="00B164DE"/>
    <w:rsid w:val="005C523B"/>
    <w:rsid w:val="00B164D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23B"/>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semiHidden/>
    <w:unhideWhenUsed/>
    <w:rsid w:val="00B164DE"/>
    <w:rPr>
      <w:strike w:val="0"/>
      <w:dstrike w:val="0"/>
      <w:color w:val="066194"/>
      <w:u w:val="none"/>
      <w:effect w:val="none"/>
    </w:rPr>
  </w:style>
  <w:style w:type="paragraph" w:styleId="NormalWeb">
    <w:name w:val="Normal (Web)"/>
    <w:basedOn w:val="Normal"/>
    <w:uiPriority w:val="99"/>
    <w:semiHidden/>
    <w:unhideWhenUsed/>
    <w:rsid w:val="00B164D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B164DE"/>
    <w:rPr>
      <w:b/>
      <w:bCs/>
    </w:rPr>
  </w:style>
</w:styles>
</file>

<file path=word/webSettings.xml><?xml version="1.0" encoding="utf-8"?>
<w:webSettings xmlns:r="http://schemas.openxmlformats.org/officeDocument/2006/relationships" xmlns:w="http://schemas.openxmlformats.org/wordprocessingml/2006/main">
  <w:divs>
    <w:div w:id="1119689867">
      <w:bodyDiv w:val="1"/>
      <w:marLeft w:val="0"/>
      <w:marRight w:val="0"/>
      <w:marTop w:val="0"/>
      <w:marBottom w:val="0"/>
      <w:divBdr>
        <w:top w:val="none" w:sz="0" w:space="0" w:color="auto"/>
        <w:left w:val="none" w:sz="0" w:space="0" w:color="auto"/>
        <w:bottom w:val="none" w:sz="0" w:space="0" w:color="auto"/>
        <w:right w:val="none" w:sz="0" w:space="0" w:color="auto"/>
      </w:divBdr>
      <w:divsChild>
        <w:div w:id="219950665">
          <w:marLeft w:val="0"/>
          <w:marRight w:val="0"/>
          <w:marTop w:val="0"/>
          <w:marBottom w:val="0"/>
          <w:divBdr>
            <w:top w:val="none" w:sz="0" w:space="0" w:color="auto"/>
            <w:left w:val="none" w:sz="0" w:space="0" w:color="auto"/>
            <w:bottom w:val="none" w:sz="0" w:space="0" w:color="auto"/>
            <w:right w:val="none" w:sz="0" w:space="0" w:color="auto"/>
          </w:divBdr>
          <w:divsChild>
            <w:div w:id="490875223">
              <w:marLeft w:val="0"/>
              <w:marRight w:val="0"/>
              <w:marTop w:val="0"/>
              <w:marBottom w:val="0"/>
              <w:divBdr>
                <w:top w:val="none" w:sz="0" w:space="0" w:color="auto"/>
                <w:left w:val="none" w:sz="0" w:space="0" w:color="auto"/>
                <w:bottom w:val="none" w:sz="0" w:space="0" w:color="auto"/>
                <w:right w:val="none" w:sz="0" w:space="0" w:color="auto"/>
              </w:divBdr>
              <w:divsChild>
                <w:div w:id="1949775389">
                  <w:marLeft w:val="1671"/>
                  <w:marRight w:val="0"/>
                  <w:marTop w:val="0"/>
                  <w:marBottom w:val="0"/>
                  <w:divBdr>
                    <w:top w:val="none" w:sz="0" w:space="0" w:color="auto"/>
                    <w:left w:val="none" w:sz="0" w:space="0" w:color="auto"/>
                    <w:bottom w:val="none" w:sz="0" w:space="0" w:color="auto"/>
                    <w:right w:val="none" w:sz="0" w:space="0" w:color="auto"/>
                  </w:divBdr>
                  <w:divsChild>
                    <w:div w:id="49807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tf.jus.br/portal/processo/verProcessoAndamento.asp?numero=1823&amp;classe=AO&amp;origem=AP&amp;recurso=0&amp;tipoJulgamento=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577</Words>
  <Characters>3118</Characters>
  <Application>Microsoft Office Word</Application>
  <DocSecurity>0</DocSecurity>
  <Lines>25</Lines>
  <Paragraphs>7</Paragraphs>
  <ScaleCrop>false</ScaleCrop>
  <Company>Microsoft</Company>
  <LinksUpToDate>false</LinksUpToDate>
  <CharactersWithSpaces>3688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desiderio.everaldo</dc:creator>
  <cp:lastModifiedBy>desiderio.everaldo</cp:lastModifiedBy>
  <cp:revision>1</cp:revision>
  <dcterms:created xsi:type="dcterms:W3CDTF">2014-04-10T11:17:00Z</dcterms:created>
  <dcterms:modified xsi:type="dcterms:W3CDTF">2014-04-10T11:22:00Z</dcterms:modified>
</cp:coreProperties>
</file>